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7601" w14:textId="77777777" w:rsidR="00E87BCC" w:rsidRPr="00E87BCC" w:rsidRDefault="00E87BCC" w:rsidP="00E87BCC">
      <w:pPr>
        <w:autoSpaceDE w:val="0"/>
        <w:autoSpaceDN w:val="0"/>
        <w:adjustRightInd w:val="0"/>
        <w:jc w:val="left"/>
        <w:rPr>
          <w:rFonts w:ascii="Calibri" w:hAnsi="Calibri" w:cs="Calibri"/>
          <w:color w:val="000000"/>
        </w:rPr>
      </w:pPr>
    </w:p>
    <w:p w14:paraId="6632C89F" w14:textId="4E4857AE" w:rsidR="00E87BCC" w:rsidRPr="00E87BCC" w:rsidRDefault="00E87BCC" w:rsidP="00E87BCC">
      <w:pPr>
        <w:autoSpaceDE w:val="0"/>
        <w:autoSpaceDN w:val="0"/>
        <w:adjustRightInd w:val="0"/>
        <w:jc w:val="left"/>
        <w:rPr>
          <w:rFonts w:ascii="Calibri" w:hAnsi="Calibri" w:cs="Calibri"/>
          <w:color w:val="2F5496" w:themeColor="accent1" w:themeShade="BF"/>
          <w:sz w:val="48"/>
          <w:szCs w:val="48"/>
        </w:rPr>
      </w:pPr>
      <w:r w:rsidRPr="00E87BCC">
        <w:rPr>
          <w:rFonts w:ascii="Calibri" w:hAnsi="Calibri" w:cs="Calibri"/>
          <w:b/>
          <w:bCs/>
          <w:color w:val="2F5496" w:themeColor="accent1" w:themeShade="BF"/>
          <w:sz w:val="48"/>
          <w:szCs w:val="48"/>
        </w:rPr>
        <w:t xml:space="preserve">Flash de la Présidence </w:t>
      </w:r>
    </w:p>
    <w:p w14:paraId="454767CF" w14:textId="60CBA60D" w:rsidR="00E87BCC" w:rsidRPr="0039113C" w:rsidRDefault="00E87BCC" w:rsidP="00E87BCC">
      <w:pPr>
        <w:autoSpaceDE w:val="0"/>
        <w:autoSpaceDN w:val="0"/>
        <w:adjustRightInd w:val="0"/>
        <w:jc w:val="left"/>
        <w:rPr>
          <w:rFonts w:ascii="Calibri" w:hAnsi="Calibri" w:cs="Calibri"/>
          <w:color w:val="2F5496" w:themeColor="accent1" w:themeShade="BF"/>
          <w:sz w:val="22"/>
          <w:szCs w:val="22"/>
          <w:u w:val="single"/>
        </w:rPr>
      </w:pPr>
      <w:r w:rsidRPr="00E87BCC">
        <w:rPr>
          <w:rFonts w:ascii="Calibri" w:hAnsi="Calibri" w:cs="Calibri"/>
          <w:color w:val="2F5496" w:themeColor="accent1" w:themeShade="BF"/>
          <w:sz w:val="22"/>
          <w:szCs w:val="22"/>
        </w:rPr>
        <w:t xml:space="preserve">Paris, </w:t>
      </w:r>
      <w:r w:rsidR="008341CC">
        <w:rPr>
          <w:rFonts w:ascii="Calibri" w:hAnsi="Calibri" w:cs="Calibri"/>
          <w:color w:val="2F5496" w:themeColor="accent1" w:themeShade="BF"/>
          <w:sz w:val="22"/>
          <w:szCs w:val="22"/>
        </w:rPr>
        <w:t>3</w:t>
      </w:r>
      <w:r w:rsidR="00B11CBE" w:rsidRPr="00050DFF">
        <w:rPr>
          <w:rFonts w:ascii="Calibri" w:hAnsi="Calibri" w:cs="Calibri"/>
          <w:color w:val="2F5496" w:themeColor="accent1" w:themeShade="BF"/>
          <w:sz w:val="22"/>
          <w:szCs w:val="22"/>
        </w:rPr>
        <w:t xml:space="preserve"> juin</w:t>
      </w:r>
      <w:r w:rsidRPr="00050DFF">
        <w:rPr>
          <w:rFonts w:ascii="Calibri" w:hAnsi="Calibri" w:cs="Calibri"/>
          <w:color w:val="2F5496" w:themeColor="accent1" w:themeShade="BF"/>
          <w:sz w:val="22"/>
          <w:szCs w:val="22"/>
        </w:rPr>
        <w:t xml:space="preserve"> 2022</w:t>
      </w:r>
      <w:r w:rsidRPr="0039113C">
        <w:rPr>
          <w:rFonts w:ascii="Calibri" w:hAnsi="Calibri" w:cs="Calibri"/>
          <w:color w:val="2F5496" w:themeColor="accent1" w:themeShade="BF"/>
          <w:sz w:val="22"/>
          <w:szCs w:val="22"/>
          <w:u w:val="single"/>
        </w:rPr>
        <w:t xml:space="preserve"> </w:t>
      </w:r>
    </w:p>
    <w:p w14:paraId="37AA56CB" w14:textId="271ADBA9" w:rsidR="00E87BCC" w:rsidRPr="00E87BCC" w:rsidRDefault="00C6213C" w:rsidP="00E87BCC">
      <w:pPr>
        <w:rPr>
          <w:color w:val="2F5496" w:themeColor="accent1" w:themeShade="BF"/>
        </w:rPr>
      </w:pPr>
      <w:r>
        <w:rPr>
          <w:rFonts w:ascii="Calibri" w:hAnsi="Calibri" w:cs="Calibri"/>
          <w:b/>
          <w:bCs/>
          <w:color w:val="2F5496" w:themeColor="accent1" w:themeShade="BF"/>
          <w:sz w:val="23"/>
          <w:szCs w:val="23"/>
        </w:rPr>
        <w:t>V</w:t>
      </w:r>
      <w:r w:rsidR="00E87BCC" w:rsidRPr="00E87BCC">
        <w:rPr>
          <w:rFonts w:ascii="Calibri" w:hAnsi="Calibri" w:cs="Calibri"/>
          <w:b/>
          <w:bCs/>
          <w:color w:val="2F5496" w:themeColor="accent1" w:themeShade="BF"/>
          <w:sz w:val="23"/>
          <w:szCs w:val="23"/>
        </w:rPr>
        <w:t xml:space="preserve">isioconférence informelle du groupe Statistiques du Conseil du </w:t>
      </w:r>
      <w:r w:rsidR="00B11CBE">
        <w:rPr>
          <w:rFonts w:ascii="Calibri" w:hAnsi="Calibri" w:cs="Calibri"/>
          <w:b/>
          <w:bCs/>
          <w:color w:val="2F5496" w:themeColor="accent1" w:themeShade="BF"/>
          <w:sz w:val="23"/>
          <w:szCs w:val="23"/>
        </w:rPr>
        <w:t>15 juin</w:t>
      </w:r>
    </w:p>
    <w:p w14:paraId="5D1B1D83" w14:textId="3E7602FE" w:rsidR="00E87BCC" w:rsidRDefault="00E87BCC"/>
    <w:p w14:paraId="505D9CEB" w14:textId="77777777" w:rsidR="00E87BCC" w:rsidRDefault="00E87BCC"/>
    <w:p w14:paraId="52626048" w14:textId="2F5EA635" w:rsidR="000F16A7" w:rsidRDefault="00AF7BED">
      <w:r>
        <w:t>Chers collègues</w:t>
      </w:r>
      <w:r w:rsidR="00712215">
        <w:t>,</w:t>
      </w:r>
    </w:p>
    <w:p w14:paraId="1BA7CD14" w14:textId="0F7336E9" w:rsidR="00AF7BED" w:rsidRDefault="00AF7BED"/>
    <w:p w14:paraId="6A2909AC" w14:textId="77777777" w:rsidR="00C620D8" w:rsidRDefault="00C620D8"/>
    <w:p w14:paraId="1F8C39FC" w14:textId="4962D4A6" w:rsidR="00AF7BED" w:rsidRDefault="00AF7BED">
      <w:r>
        <w:t>Nous avons le plaisir de vous inviter à la</w:t>
      </w:r>
      <w:r w:rsidR="009124FF">
        <w:t xml:space="preserve"> </w:t>
      </w:r>
      <w:r w:rsidR="00EA2BC2">
        <w:t>quatrième</w:t>
      </w:r>
      <w:r>
        <w:t xml:space="preserve"> visioconférence informelle du groupe statistiques du Conseil sous présidence française. Cette réunion sera organisée à distance, au moyen de la plateforme VTC du Conseil. Elle </w:t>
      </w:r>
      <w:r w:rsidR="00567C2F">
        <w:t xml:space="preserve">aura lieu le </w:t>
      </w:r>
      <w:r w:rsidR="00EA2BC2">
        <w:t>15 juin</w:t>
      </w:r>
      <w:r w:rsidR="00567C2F">
        <w:t xml:space="preserve"> et </w:t>
      </w:r>
      <w:r>
        <w:t>se tiendra de 10 à 1</w:t>
      </w:r>
      <w:r w:rsidR="00EA2BC2">
        <w:t>4</w:t>
      </w:r>
      <w:r>
        <w:t xml:space="preserve"> heures au plus tard</w:t>
      </w:r>
      <w:r w:rsidR="00EA2BC2">
        <w:t xml:space="preserve"> sans pause déjeuner</w:t>
      </w:r>
      <w:r>
        <w:t xml:space="preserve">. </w:t>
      </w:r>
    </w:p>
    <w:p w14:paraId="5125BB35" w14:textId="77777777" w:rsidR="00AF7BED" w:rsidRDefault="00AF7BED"/>
    <w:p w14:paraId="520E366D" w14:textId="716DC77D" w:rsidR="00AF7BED" w:rsidRDefault="00AF7BED">
      <w:r>
        <w:t xml:space="preserve">La réunion sera consacrée à la révision du règlement 549/2013 du parlement européen et du Conseil relatif au système européen des comptes nationaux et régionaux dans l’Union Européenne (SEC2010). </w:t>
      </w:r>
    </w:p>
    <w:p w14:paraId="1B8B07BD" w14:textId="2B078E10" w:rsidR="00E00706" w:rsidRDefault="00E00706"/>
    <w:p w14:paraId="14B2E66A" w14:textId="1BD84573" w:rsidR="003941EC" w:rsidRDefault="00C6213C">
      <w:r>
        <w:t>L</w:t>
      </w:r>
      <w:r w:rsidR="005B032D">
        <w:t xml:space="preserve">a Présidence </w:t>
      </w:r>
      <w:r>
        <w:t xml:space="preserve">a préparé une proposition de compromis sur ce règlement révisé, qui </w:t>
      </w:r>
      <w:r w:rsidR="005B032D">
        <w:t xml:space="preserve">vous a été diffusée </w:t>
      </w:r>
      <w:r w:rsidR="005B032D" w:rsidRPr="0039113C">
        <w:rPr>
          <w:u w:val="single"/>
        </w:rPr>
        <w:t>le XX juin</w:t>
      </w:r>
      <w:r w:rsidR="00F764BF">
        <w:t xml:space="preserve">. </w:t>
      </w:r>
      <w:r w:rsidR="003941EC" w:rsidRPr="003941EC">
        <w:rPr>
          <w:u w:val="single"/>
        </w:rPr>
        <w:t>Document XX</w:t>
      </w:r>
      <w:r w:rsidR="003941EC">
        <w:t>.</w:t>
      </w:r>
    </w:p>
    <w:p w14:paraId="514E2B19" w14:textId="77777777" w:rsidR="003941EC" w:rsidRDefault="003941EC"/>
    <w:p w14:paraId="2683DBBB" w14:textId="049C4A47" w:rsidR="003941EC" w:rsidRDefault="00F764BF" w:rsidP="003941EC">
      <w:r>
        <w:t xml:space="preserve">Cette proposition prend en compte vos réponses à la consultation écrite de janvier dernier </w:t>
      </w:r>
      <w:r w:rsidR="00FB6909" w:rsidRPr="001F172D">
        <w:rPr>
          <w:color w:val="000000" w:themeColor="text1"/>
        </w:rPr>
        <w:t>(</w:t>
      </w:r>
      <w:r w:rsidR="00FB6909" w:rsidRPr="001F172D">
        <w:rPr>
          <w:rFonts w:cs="Arial"/>
          <w:color w:val="000000" w:themeColor="text1"/>
        </w:rPr>
        <w:t>compilées dans le document de travail WK 1518/2022)</w:t>
      </w:r>
      <w:r w:rsidRPr="001F172D">
        <w:rPr>
          <w:color w:val="000000" w:themeColor="text1"/>
        </w:rPr>
        <w:t xml:space="preserve">, </w:t>
      </w:r>
      <w:r>
        <w:t xml:space="preserve">ainsi que </w:t>
      </w:r>
      <w:r w:rsidR="00FB6909">
        <w:t>les</w:t>
      </w:r>
      <w:r>
        <w:t xml:space="preserve"> opinions exprimées lors des réunions informelles du groupe </w:t>
      </w:r>
      <w:r w:rsidR="00FB6909">
        <w:t>sur ce règlement révisé qui ont eu lieu</w:t>
      </w:r>
      <w:r>
        <w:t xml:space="preserve"> en janvier, février et avril.</w:t>
      </w:r>
      <w:r w:rsidR="003941EC" w:rsidRPr="003941EC">
        <w:t xml:space="preserve"> </w:t>
      </w:r>
      <w:r w:rsidR="003941EC">
        <w:t xml:space="preserve">La Présidence remercie toutes les délégations pour leurs contributions, qui ont permis </w:t>
      </w:r>
      <w:r w:rsidR="0046429F">
        <w:t>d’aboutir à la rédaction de ce texte.</w:t>
      </w:r>
      <w:r w:rsidR="003941EC">
        <w:t xml:space="preserve"> </w:t>
      </w:r>
    </w:p>
    <w:p w14:paraId="5BE1D846" w14:textId="1135A02A" w:rsidR="00E00706" w:rsidRDefault="00E00706"/>
    <w:p w14:paraId="34B0102A" w14:textId="317CE1C8" w:rsidR="00E00706" w:rsidRDefault="003941EC">
      <w:r>
        <w:t xml:space="preserve">Comme il s’agit d’un texte de compromis, toutes les </w:t>
      </w:r>
      <w:r w:rsidR="00DD780C">
        <w:t>remarques</w:t>
      </w:r>
      <w:r>
        <w:t xml:space="preserve"> exprimées par chaque Etat-membre n’ont pas pu être prises en compte. Toutefois, la Présidence considère qu’il s’agit </w:t>
      </w:r>
      <w:r w:rsidR="00EB0054">
        <w:t>d’un texte</w:t>
      </w:r>
      <w:r w:rsidR="00913605">
        <w:t xml:space="preserve"> équilibré et réaliste </w:t>
      </w:r>
      <w:r w:rsidR="00DD780C">
        <w:t>reflétant globalement les opinion</w:t>
      </w:r>
      <w:r w:rsidR="00913605">
        <w:t>s des Etats-membres</w:t>
      </w:r>
      <w:r w:rsidR="00EB0054">
        <w:t xml:space="preserve">, qui pourrait donc être acceptable comme base des négociations avec le Parlement européen. </w:t>
      </w:r>
      <w:r w:rsidR="00E00706">
        <w:t xml:space="preserve">Suite à cette réunion, la Présidence souhaite </w:t>
      </w:r>
      <w:r>
        <w:t xml:space="preserve">donc </w:t>
      </w:r>
      <w:r w:rsidR="00E00706">
        <w:t>proposer au COREPER d’adopter un mandat de négociation avec le Parlement européen sur ce</w:t>
      </w:r>
      <w:r w:rsidR="00EB0054">
        <w:t xml:space="preserve"> texte</w:t>
      </w:r>
      <w:r w:rsidR="00E00706">
        <w:t>.</w:t>
      </w:r>
    </w:p>
    <w:p w14:paraId="23873096" w14:textId="77777777" w:rsidR="00E00706" w:rsidRDefault="00E00706"/>
    <w:p w14:paraId="41213F3C" w14:textId="4BB49D8A" w:rsidR="00EB3B19" w:rsidRDefault="00E00706">
      <w:r>
        <w:t>L</w:t>
      </w:r>
      <w:r w:rsidR="009124FF">
        <w:t xml:space="preserve">es </w:t>
      </w:r>
      <w:r w:rsidR="003B7905">
        <w:t>quatre</w:t>
      </w:r>
      <w:r>
        <w:t xml:space="preserve"> </w:t>
      </w:r>
      <w:r w:rsidR="00292E8C">
        <w:t>thèmes</w:t>
      </w:r>
      <w:r w:rsidR="009124FF">
        <w:t xml:space="preserve"> suivants</w:t>
      </w:r>
      <w:r w:rsidR="00843AA4">
        <w:t xml:space="preserve">, qui sont ceux pour lesquels </w:t>
      </w:r>
      <w:r w:rsidR="00843AA4" w:rsidRPr="00B13EFA">
        <w:t>la proposition de la Commission</w:t>
      </w:r>
      <w:r w:rsidR="00843AA4">
        <w:t xml:space="preserve"> a suscité le plus de réserves des Etats-membres,</w:t>
      </w:r>
      <w:r>
        <w:t xml:space="preserve"> ont été l’objet de révisions significatives dans </w:t>
      </w:r>
      <w:r w:rsidR="00EB0054">
        <w:t>la proposition de la Présidence</w:t>
      </w:r>
      <w:r w:rsidR="009124FF">
        <w:t xml:space="preserve">. </w:t>
      </w:r>
    </w:p>
    <w:p w14:paraId="60C3CBBF" w14:textId="526C40C4" w:rsidR="00EB3B19" w:rsidRDefault="00EB3B19"/>
    <w:p w14:paraId="170E88CB" w14:textId="77777777" w:rsidR="003B7905" w:rsidRDefault="003B7905">
      <w:pPr>
        <w:rPr>
          <w:u w:val="single"/>
        </w:rPr>
      </w:pPr>
    </w:p>
    <w:p w14:paraId="2C954BCC" w14:textId="77777777" w:rsidR="00982B83" w:rsidRDefault="00982B83">
      <w:pPr>
        <w:jc w:val="left"/>
        <w:rPr>
          <w:u w:val="single"/>
        </w:rPr>
      </w:pPr>
      <w:r>
        <w:rPr>
          <w:u w:val="single"/>
        </w:rPr>
        <w:br w:type="page"/>
      </w:r>
    </w:p>
    <w:p w14:paraId="1DFD8C00" w14:textId="2AEBA13C" w:rsidR="00EB3B19" w:rsidRPr="00EB3B19" w:rsidRDefault="00EB3B19">
      <w:pPr>
        <w:rPr>
          <w:u w:val="single"/>
        </w:rPr>
      </w:pPr>
      <w:r w:rsidRPr="00EB3B19">
        <w:rPr>
          <w:u w:val="single"/>
        </w:rPr>
        <w:lastRenderedPageBreak/>
        <w:t>Les métadonnées</w:t>
      </w:r>
    </w:p>
    <w:p w14:paraId="51D69DFB" w14:textId="182350A5" w:rsidR="000B0CF1" w:rsidRPr="000B0CF1" w:rsidRDefault="00A51A42" w:rsidP="00F363A9">
      <w:pPr>
        <w:rPr>
          <w:rFonts w:ascii="Calibri" w:hAnsi="Calibri" w:cs="Calibri"/>
        </w:rPr>
      </w:pPr>
      <w:r w:rsidRPr="000B0CF1">
        <w:rPr>
          <w:rFonts w:ascii="Calibri" w:hAnsi="Calibri" w:cs="Calibri"/>
        </w:rPr>
        <w:t>Les</w:t>
      </w:r>
      <w:r w:rsidR="00D51BCF" w:rsidRPr="000B0CF1">
        <w:rPr>
          <w:rFonts w:ascii="Calibri" w:hAnsi="Calibri" w:cs="Calibri"/>
        </w:rPr>
        <w:t xml:space="preserve"> points de l’annexe </w:t>
      </w:r>
      <w:r w:rsidR="00050DFF">
        <w:rPr>
          <w:rFonts w:ascii="Calibri" w:hAnsi="Calibri" w:cs="Calibri"/>
        </w:rPr>
        <w:t>II</w:t>
      </w:r>
      <w:r w:rsidR="00D51BCF" w:rsidRPr="000B0CF1">
        <w:rPr>
          <w:rFonts w:ascii="Calibri" w:hAnsi="Calibri" w:cs="Calibri"/>
        </w:rPr>
        <w:t xml:space="preserve"> concernant les métadonnées</w:t>
      </w:r>
      <w:r w:rsidR="00963802" w:rsidRPr="000B0CF1">
        <w:rPr>
          <w:rFonts w:ascii="Calibri" w:hAnsi="Calibri" w:cs="Calibri"/>
        </w:rPr>
        <w:t xml:space="preserve"> </w:t>
      </w:r>
      <w:r w:rsidRPr="000B0CF1">
        <w:rPr>
          <w:rFonts w:ascii="Calibri" w:hAnsi="Calibri" w:cs="Calibri"/>
        </w:rPr>
        <w:t>ont</w:t>
      </w:r>
      <w:r w:rsidR="006159F5" w:rsidRPr="000B0CF1">
        <w:rPr>
          <w:rFonts w:ascii="Calibri" w:hAnsi="Calibri" w:cs="Calibri"/>
        </w:rPr>
        <w:t xml:space="preserve"> été </w:t>
      </w:r>
      <w:r w:rsidRPr="000B0CF1">
        <w:rPr>
          <w:rFonts w:ascii="Calibri" w:hAnsi="Calibri" w:cs="Calibri"/>
        </w:rPr>
        <w:t>significativement allégés</w:t>
      </w:r>
      <w:r w:rsidR="006159F5" w:rsidRPr="000B0CF1">
        <w:rPr>
          <w:rFonts w:ascii="Calibri" w:hAnsi="Calibri" w:cs="Calibri"/>
        </w:rPr>
        <w:t xml:space="preserve"> et simplifié</w:t>
      </w:r>
      <w:r w:rsidRPr="000B0CF1">
        <w:rPr>
          <w:rFonts w:ascii="Calibri" w:hAnsi="Calibri" w:cs="Calibri"/>
        </w:rPr>
        <w:t>s</w:t>
      </w:r>
      <w:r w:rsidR="006159F5" w:rsidRPr="000B0CF1">
        <w:rPr>
          <w:rFonts w:ascii="Calibri" w:hAnsi="Calibri" w:cs="Calibri"/>
        </w:rPr>
        <w:t>, puisqu’</w:t>
      </w:r>
      <w:r w:rsidRPr="000B0CF1">
        <w:rPr>
          <w:rFonts w:ascii="Calibri" w:hAnsi="Calibri" w:cs="Calibri"/>
        </w:rPr>
        <w:t xml:space="preserve">il ne reste plus </w:t>
      </w:r>
      <w:r w:rsidR="006159F5" w:rsidRPr="000B0CF1">
        <w:rPr>
          <w:rFonts w:ascii="Calibri" w:hAnsi="Calibri" w:cs="Calibri"/>
        </w:rPr>
        <w:t>que trois points sur ce sujet sur les dix points de la proposition de la Commission.</w:t>
      </w:r>
      <w:r w:rsidR="000B0CF1" w:rsidRPr="000B0CF1">
        <w:rPr>
          <w:rFonts w:ascii="Calibri" w:hAnsi="Calibri" w:cs="Calibri"/>
        </w:rPr>
        <w:t xml:space="preserve"> </w:t>
      </w:r>
      <w:r w:rsidR="00F363A9">
        <w:t xml:space="preserve">En particulier, il est fait une distinction entre les métadonnées structurelles permettant de décrire le processus et les métadonnées spécifiques à un envoi dont la finalité est de signaler à la Commission (Eurostat) des évènements particuliers. </w:t>
      </w:r>
      <w:r w:rsidR="000B0CF1">
        <w:rPr>
          <w:rFonts w:ascii="Calibri" w:hAnsi="Calibri" w:cs="Calibri"/>
        </w:rPr>
        <w:t>P</w:t>
      </w:r>
      <w:r w:rsidR="000B0CF1" w:rsidRPr="000B0CF1">
        <w:rPr>
          <w:rFonts w:ascii="Calibri" w:hAnsi="Calibri" w:cs="Calibri"/>
        </w:rPr>
        <w:t>our</w:t>
      </w:r>
      <w:r w:rsidR="000B0CF1">
        <w:rPr>
          <w:rFonts w:ascii="Calibri" w:hAnsi="Calibri" w:cs="Calibri"/>
        </w:rPr>
        <w:t xml:space="preserve"> la transmission des </w:t>
      </w:r>
      <w:r w:rsidR="000B0CF1" w:rsidRPr="000B0CF1">
        <w:rPr>
          <w:rFonts w:ascii="Calibri" w:hAnsi="Calibri" w:cs="Calibri"/>
        </w:rPr>
        <w:t xml:space="preserve">métadonnées spécifiques, un délai de 3 jours </w:t>
      </w:r>
      <w:r w:rsidR="000B0CF1">
        <w:rPr>
          <w:rFonts w:ascii="Calibri" w:hAnsi="Calibri" w:cs="Calibri"/>
        </w:rPr>
        <w:t>est possible après la transmission des données</w:t>
      </w:r>
      <w:r w:rsidR="006C024B">
        <w:rPr>
          <w:rFonts w:ascii="Calibri" w:hAnsi="Calibri" w:cs="Calibri"/>
        </w:rPr>
        <w:t xml:space="preserve"> </w:t>
      </w:r>
      <w:r w:rsidR="00BB63C1">
        <w:rPr>
          <w:rFonts w:ascii="Calibri" w:hAnsi="Calibri" w:cs="Calibri"/>
        </w:rPr>
        <w:t>annuelles</w:t>
      </w:r>
      <w:r w:rsidR="00292E8C">
        <w:rPr>
          <w:rFonts w:ascii="Calibri" w:hAnsi="Calibri" w:cs="Calibri"/>
        </w:rPr>
        <w:t xml:space="preserve"> (voir point 11 de l’annexe </w:t>
      </w:r>
      <w:r w:rsidR="00050DFF">
        <w:rPr>
          <w:rFonts w:ascii="Calibri" w:hAnsi="Calibri" w:cs="Calibri"/>
        </w:rPr>
        <w:t>II</w:t>
      </w:r>
      <w:r w:rsidR="00292E8C">
        <w:rPr>
          <w:rFonts w:ascii="Calibri" w:hAnsi="Calibri" w:cs="Calibri"/>
        </w:rPr>
        <w:t>)</w:t>
      </w:r>
      <w:r w:rsidR="000B0CF1" w:rsidRPr="000B0CF1">
        <w:rPr>
          <w:rFonts w:ascii="Calibri" w:hAnsi="Calibri" w:cs="Calibri"/>
        </w:rPr>
        <w:t xml:space="preserve">. </w:t>
      </w:r>
    </w:p>
    <w:p w14:paraId="1CA69DA4" w14:textId="77777777" w:rsidR="00C620D8" w:rsidRDefault="00C620D8" w:rsidP="00F5185B">
      <w:pPr>
        <w:rPr>
          <w:u w:val="single"/>
        </w:rPr>
      </w:pPr>
      <w:bookmarkStart w:id="0" w:name="_GoBack"/>
      <w:bookmarkEnd w:id="0"/>
    </w:p>
    <w:p w14:paraId="5FAF03ED" w14:textId="77777777" w:rsidR="003B7905" w:rsidRDefault="003B7905" w:rsidP="00F5185B">
      <w:pPr>
        <w:rPr>
          <w:u w:val="single"/>
        </w:rPr>
      </w:pPr>
    </w:p>
    <w:p w14:paraId="39A7DE27" w14:textId="286FAF91" w:rsidR="00F5185B" w:rsidRDefault="00F5185B" w:rsidP="00F5185B">
      <w:pPr>
        <w:rPr>
          <w:u w:val="single"/>
        </w:rPr>
      </w:pPr>
      <w:r w:rsidRPr="009124FF">
        <w:rPr>
          <w:u w:val="single"/>
        </w:rPr>
        <w:t>La retransmission et la cohérence</w:t>
      </w:r>
      <w:r>
        <w:rPr>
          <w:u w:val="single"/>
        </w:rPr>
        <w:t xml:space="preserve"> entre les tableaux</w:t>
      </w:r>
    </w:p>
    <w:p w14:paraId="1A38F6C6" w14:textId="35342307" w:rsidR="00F5185B" w:rsidRDefault="00843AA4" w:rsidP="00F5185B">
      <w:r>
        <w:t>Le texte</w:t>
      </w:r>
      <w:r w:rsidR="00F5185B">
        <w:t xml:space="preserve"> </w:t>
      </w:r>
      <w:r w:rsidR="006159F5">
        <w:t>garde</w:t>
      </w:r>
      <w:r w:rsidR="00F5185B">
        <w:t xml:space="preserve"> la formulation sur ce sujet figurant dans la version actuelle du règlement concernant le tableau 801. Pour aller dans le même sens, une note de bas de page sera ajoutée sur la première page de l’annexe </w:t>
      </w:r>
      <w:r w:rsidR="00050DFF">
        <w:t>II</w:t>
      </w:r>
      <w:r w:rsidR="00F5185B">
        <w:t xml:space="preserve"> du règlement, mentionnant à propos des tableaux 1Q et 1A que « </w:t>
      </w:r>
      <w:r w:rsidR="00F5185B" w:rsidRPr="008341CC">
        <w:rPr>
          <w:i/>
        </w:rPr>
        <w:t>Si un Etat membre transmet la série complète de données dans les 2 mois, les données ne doivent pas être transmises dans un délai de 3 mois</w:t>
      </w:r>
      <w:r w:rsidR="00F5185B">
        <w:t> ».</w:t>
      </w:r>
    </w:p>
    <w:p w14:paraId="2C30996A" w14:textId="77777777" w:rsidR="008341CC" w:rsidRDefault="008341CC" w:rsidP="00F5185B"/>
    <w:p w14:paraId="165FCB6B" w14:textId="77777777" w:rsidR="00F5185B" w:rsidRDefault="00F5185B" w:rsidP="00F5185B"/>
    <w:p w14:paraId="4BEB6676" w14:textId="073764A4" w:rsidR="00631C28" w:rsidRPr="00631C28" w:rsidRDefault="00631C28">
      <w:pPr>
        <w:rPr>
          <w:u w:val="single"/>
        </w:rPr>
      </w:pPr>
      <w:r w:rsidRPr="00631C28">
        <w:rPr>
          <w:u w:val="single"/>
        </w:rPr>
        <w:t>Les dérogations</w:t>
      </w:r>
    </w:p>
    <w:p w14:paraId="04EB02CE" w14:textId="2F5CF727" w:rsidR="00007C38" w:rsidRDefault="00F5185B">
      <w:r>
        <w:t xml:space="preserve">La Présidence </w:t>
      </w:r>
      <w:r w:rsidR="00A51A42">
        <w:t>a ajouté</w:t>
      </w:r>
      <w:r>
        <w:t xml:space="preserve"> dans l’acte de base </w:t>
      </w:r>
      <w:r w:rsidR="00962333">
        <w:t>un article</w:t>
      </w:r>
      <w:r w:rsidR="00A146D8">
        <w:t xml:space="preserve"> </w:t>
      </w:r>
      <w:r w:rsidR="00DD1ADA">
        <w:t>et un considérant sur les dérogations. L</w:t>
      </w:r>
      <w:r w:rsidR="004017DB">
        <w:t xml:space="preserve">es dérogations </w:t>
      </w:r>
      <w:r w:rsidR="002D322D">
        <w:t xml:space="preserve">sont accordées par la Commission (Eurostat) sur justification et pour une durée limitée. Elles </w:t>
      </w:r>
      <w:r w:rsidR="004017DB">
        <w:t xml:space="preserve">ne peuvent porter que sur de nouvelles dispositions incluses dans le règlement révisé. </w:t>
      </w:r>
      <w:r w:rsidR="00D93A66">
        <w:t>Ces dérogations peuvent permettre de résoudre des problèmes posés aux Etats-membres par la révision du règlement, en leur laissant le temps de s’adapter à certaines nouvelles dispositions.</w:t>
      </w:r>
    </w:p>
    <w:p w14:paraId="513CBA6E" w14:textId="77777777" w:rsidR="004017DB" w:rsidRDefault="004017DB"/>
    <w:p w14:paraId="102099FB" w14:textId="0F5923DF" w:rsidR="00007C38" w:rsidRDefault="00007C38" w:rsidP="009124FF">
      <w:pPr>
        <w:rPr>
          <w:u w:val="single"/>
        </w:rPr>
      </w:pPr>
    </w:p>
    <w:p w14:paraId="3E30DE07" w14:textId="77777777" w:rsidR="00164431" w:rsidRPr="004B0B4C" w:rsidRDefault="00164431" w:rsidP="00164431">
      <w:pPr>
        <w:rPr>
          <w:u w:val="single"/>
        </w:rPr>
      </w:pPr>
      <w:r w:rsidRPr="004B0B4C">
        <w:rPr>
          <w:u w:val="single"/>
        </w:rPr>
        <w:t>Le tableau 28A</w:t>
      </w:r>
    </w:p>
    <w:p w14:paraId="00AD116B" w14:textId="7DB18A9D" w:rsidR="00164431" w:rsidRDefault="00164431" w:rsidP="00164431">
      <w:pPr>
        <w:pStyle w:val="NormalWeb"/>
        <w:spacing w:before="0" w:beforeAutospacing="0" w:line="240" w:lineRule="auto"/>
        <w:jc w:val="both"/>
        <w:rPr>
          <w:rFonts w:ascii="Calibri" w:hAnsi="Calibri" w:cs="Calibri"/>
          <w:color w:val="000000"/>
        </w:rPr>
      </w:pPr>
      <w:r>
        <w:rPr>
          <w:rFonts w:ascii="Calibri" w:hAnsi="Calibri" w:cs="Calibri"/>
          <w:color w:val="000000"/>
        </w:rPr>
        <w:t xml:space="preserve">La </w:t>
      </w:r>
      <w:r w:rsidR="000D1784">
        <w:rPr>
          <w:rFonts w:ascii="Calibri" w:hAnsi="Calibri" w:cs="Calibri"/>
          <w:color w:val="000000"/>
        </w:rPr>
        <w:t>note</w:t>
      </w:r>
      <w:r>
        <w:rPr>
          <w:rFonts w:ascii="Calibri" w:hAnsi="Calibri" w:cs="Calibri"/>
          <w:color w:val="000000"/>
        </w:rPr>
        <w:t xml:space="preserve"> envoyée </w:t>
      </w:r>
      <w:r w:rsidR="000D1784">
        <w:rPr>
          <w:rFonts w:ascii="Calibri" w:hAnsi="Calibri" w:cs="Calibri"/>
          <w:color w:val="000000"/>
        </w:rPr>
        <w:t xml:space="preserve">le 22 avril dernier </w:t>
      </w:r>
      <w:r>
        <w:rPr>
          <w:rFonts w:ascii="Calibri" w:hAnsi="Calibri" w:cs="Calibri"/>
          <w:color w:val="000000"/>
        </w:rPr>
        <w:t>par la Commission (Eurostat) à la Présidence</w:t>
      </w:r>
      <w:r w:rsidR="001F541F">
        <w:rPr>
          <w:rFonts w:ascii="Calibri" w:hAnsi="Calibri" w:cs="Calibri"/>
          <w:color w:val="000000"/>
        </w:rPr>
        <w:t xml:space="preserve"> sur ce tableau</w:t>
      </w:r>
      <w:r>
        <w:rPr>
          <w:rFonts w:ascii="Calibri" w:hAnsi="Calibri" w:cs="Calibri"/>
          <w:color w:val="000000"/>
        </w:rPr>
        <w:t>, qui a été transmise aux membres du groupe</w:t>
      </w:r>
      <w:r w:rsidR="000D1784">
        <w:rPr>
          <w:rFonts w:ascii="Calibri" w:hAnsi="Calibri" w:cs="Calibri"/>
          <w:color w:val="000000"/>
        </w:rPr>
        <w:t xml:space="preserve"> le même jour</w:t>
      </w:r>
      <w:r>
        <w:rPr>
          <w:rFonts w:ascii="Calibri" w:hAnsi="Calibri" w:cs="Calibri"/>
          <w:color w:val="000000"/>
        </w:rPr>
        <w:t xml:space="preserve">, permet de mieux cerner les nouvelles demandes et l'intérêt d'une telle proposition pour bien décrire </w:t>
      </w:r>
      <w:r w:rsidR="009E418C">
        <w:rPr>
          <w:rFonts w:ascii="Calibri" w:hAnsi="Calibri" w:cs="Calibri"/>
          <w:color w:val="000000"/>
        </w:rPr>
        <w:t xml:space="preserve">la </w:t>
      </w:r>
      <w:r w:rsidR="000D1784">
        <w:rPr>
          <w:rFonts w:ascii="Calibri" w:hAnsi="Calibri" w:cs="Calibri"/>
          <w:color w:val="000000"/>
        </w:rPr>
        <w:t>structure</w:t>
      </w:r>
      <w:r>
        <w:rPr>
          <w:rFonts w:ascii="Calibri" w:hAnsi="Calibri" w:cs="Calibri"/>
          <w:color w:val="000000"/>
        </w:rPr>
        <w:t xml:space="preserve"> de la dette </w:t>
      </w:r>
      <w:r w:rsidR="000D1784">
        <w:rPr>
          <w:rFonts w:ascii="Calibri" w:hAnsi="Calibri" w:cs="Calibri"/>
          <w:color w:val="000000"/>
        </w:rPr>
        <w:t xml:space="preserve">publique </w:t>
      </w:r>
      <w:r>
        <w:rPr>
          <w:rFonts w:ascii="Calibri" w:hAnsi="Calibri" w:cs="Calibri"/>
          <w:color w:val="000000"/>
        </w:rPr>
        <w:t>des Etats membres. Au regard du nombre de transmissions obligatoires et de leur intérêt, la Présidence propose de conserver la proposition de la Commission et la date limite de transmission. Le nouvel article concernant les dérogations peut s'appliquer à ce tableau.  </w:t>
      </w:r>
    </w:p>
    <w:p w14:paraId="69C1D0FD" w14:textId="545765E7" w:rsidR="00164431" w:rsidRDefault="00164431" w:rsidP="009124FF">
      <w:pPr>
        <w:rPr>
          <w:u w:val="single"/>
        </w:rPr>
      </w:pPr>
    </w:p>
    <w:p w14:paraId="37ED308D" w14:textId="3D20A43D" w:rsidR="00164431" w:rsidRDefault="00164431" w:rsidP="009124FF">
      <w:pPr>
        <w:rPr>
          <w:u w:val="single"/>
        </w:rPr>
      </w:pPr>
    </w:p>
    <w:p w14:paraId="3B2CA728" w14:textId="5730F465" w:rsidR="009124FF" w:rsidRPr="009124FF" w:rsidRDefault="00164431">
      <w:pPr>
        <w:rPr>
          <w:u w:val="single"/>
        </w:rPr>
      </w:pPr>
      <w:r>
        <w:rPr>
          <w:u w:val="single"/>
        </w:rPr>
        <w:t>Les c</w:t>
      </w:r>
      <w:r w:rsidR="00EA2BC2">
        <w:rPr>
          <w:u w:val="single"/>
        </w:rPr>
        <w:t>omptes des institutions de l’Union européenne</w:t>
      </w:r>
    </w:p>
    <w:p w14:paraId="5DE7CA61" w14:textId="26753835" w:rsidR="007E46EB" w:rsidRDefault="007E46EB" w:rsidP="00FA1B46">
      <w:r>
        <w:t>Un considérant a été ajouté</w:t>
      </w:r>
      <w:r w:rsidR="00FA1B46">
        <w:t> :</w:t>
      </w:r>
      <w:r>
        <w:t xml:space="preserve"> </w:t>
      </w:r>
    </w:p>
    <w:p w14:paraId="5BCB5CA8" w14:textId="22BF5CD2" w:rsidR="00FA1B46" w:rsidRPr="00050DFF" w:rsidRDefault="008341CC" w:rsidP="000078F7">
      <w:pPr>
        <w:spacing w:after="142" w:line="276" w:lineRule="auto"/>
        <w:rPr>
          <w:rFonts w:eastAsia="Times New Roman" w:cstheme="minorHAnsi"/>
          <w:i/>
          <w:lang w:val="en-US" w:eastAsia="fr-FR"/>
        </w:rPr>
      </w:pPr>
      <w:r>
        <w:rPr>
          <w:rFonts w:eastAsia="Times New Roman" w:cstheme="minorHAnsi"/>
          <w:bCs/>
          <w:i/>
          <w:color w:val="000000"/>
          <w:lang w:val="en-US" w:eastAsia="fr-FR"/>
        </w:rPr>
        <w:t>“(10a)</w:t>
      </w:r>
      <w:r w:rsidR="00FA1B46" w:rsidRPr="00050DFF">
        <w:rPr>
          <w:rFonts w:eastAsia="Times New Roman" w:cstheme="minorHAnsi"/>
          <w:bCs/>
          <w:i/>
          <w:color w:val="000000"/>
          <w:lang w:val="en-US" w:eastAsia="fr-FR"/>
        </w:rPr>
        <w:t xml:space="preserve">To support Member States in the context of the COVID19 pandemic, the Union has taken major initiatives, notably NextGenerationEU and the recovery and resilience facility aimed at mitigating the social and economic impact of the crisis and reinforcing the resilience of Member States’ economies and social structures. Against this background, EU statistics should </w:t>
      </w:r>
      <w:r w:rsidR="00FA1B46" w:rsidRPr="00050DFF">
        <w:rPr>
          <w:rFonts w:eastAsia="Times New Roman" w:cstheme="minorHAnsi"/>
          <w:bCs/>
          <w:i/>
          <w:color w:val="000000"/>
          <w:lang w:val="en-US" w:eastAsia="fr-FR"/>
        </w:rPr>
        <w:lastRenderedPageBreak/>
        <w:t xml:space="preserve">properly reflect the statistical accounts for the EU institutions and bodies. Therefore, technical work should be pursued for that purpose, so that a robust methodology is developed allowing for the compilation and dissemination of those accounts by the Commission (Eurostat) with regular reports, in particular, to the Council and the European Parliament on the progress made. The Commission (Eurostat) should make available relevant information on deficit and debt by EU institutions </w:t>
      </w:r>
      <w:r>
        <w:rPr>
          <w:rFonts w:eastAsia="Times New Roman" w:cstheme="minorHAnsi"/>
          <w:bCs/>
          <w:i/>
          <w:color w:val="000000"/>
          <w:lang w:val="en-US" w:eastAsia="fr-FR"/>
        </w:rPr>
        <w:t>and bodies as soon as possible.”</w:t>
      </w:r>
    </w:p>
    <w:p w14:paraId="330D3E9B" w14:textId="77777777" w:rsidR="00FA1B46" w:rsidRPr="00FA1B46" w:rsidRDefault="00FA1B46" w:rsidP="00FA1B46">
      <w:pPr>
        <w:rPr>
          <w:lang w:val="en-US"/>
        </w:rPr>
      </w:pPr>
    </w:p>
    <w:p w14:paraId="0B8317E0" w14:textId="77777777" w:rsidR="00007C38" w:rsidRPr="00FA1B46" w:rsidRDefault="00007C38">
      <w:pPr>
        <w:rPr>
          <w:lang w:val="en-US"/>
        </w:rPr>
      </w:pPr>
    </w:p>
    <w:p w14:paraId="2F73B98B" w14:textId="6F682300" w:rsidR="00743A34" w:rsidRDefault="00391B34">
      <w:r>
        <w:t xml:space="preserve">D’autres </w:t>
      </w:r>
      <w:r w:rsidR="00AD559A">
        <w:t>thèmes</w:t>
      </w:r>
      <w:r>
        <w:t xml:space="preserve"> ont été l’objet de révisions plus ponctuelles.</w:t>
      </w:r>
    </w:p>
    <w:p w14:paraId="7E0ADDC1" w14:textId="77777777" w:rsidR="00391B34" w:rsidRDefault="00391B34"/>
    <w:p w14:paraId="44411F4F" w14:textId="77777777" w:rsidR="00982B83" w:rsidRDefault="00982B83">
      <w:pPr>
        <w:rPr>
          <w:u w:val="single"/>
        </w:rPr>
      </w:pPr>
    </w:p>
    <w:p w14:paraId="7A155071" w14:textId="6EF4E6A4" w:rsidR="001F172D" w:rsidRPr="008341CC" w:rsidRDefault="001F172D">
      <w:pPr>
        <w:rPr>
          <w:u w:val="single"/>
        </w:rPr>
      </w:pPr>
      <w:r w:rsidRPr="008341CC">
        <w:rPr>
          <w:u w:val="single"/>
        </w:rPr>
        <w:t>Nous sommes à la disposition des Etats-membres qui souhaiteraient une discussion bilatérale sur un point particulier avant la réunion du 15 juin.</w:t>
      </w:r>
    </w:p>
    <w:p w14:paraId="108C17C0" w14:textId="77777777" w:rsidR="00743A34" w:rsidRDefault="00743A34"/>
    <w:p w14:paraId="559904C5" w14:textId="77777777" w:rsidR="001F172D" w:rsidRDefault="001F172D"/>
    <w:p w14:paraId="1EF14FF7" w14:textId="54E44E34" w:rsidR="00DD6BA4" w:rsidRDefault="001D5623">
      <w:r>
        <w:t>Dans l’attente d’une réunion productive !</w:t>
      </w:r>
    </w:p>
    <w:p w14:paraId="7F8917C4" w14:textId="2037988D" w:rsidR="00FD4AB6" w:rsidRDefault="00FD4AB6"/>
    <w:p w14:paraId="1DC59125" w14:textId="6A6F6398" w:rsidR="00573494" w:rsidRPr="00573494" w:rsidRDefault="00FD4AB6" w:rsidP="00B11CBE">
      <w:pPr>
        <w:rPr>
          <w:lang w:val="en-US"/>
        </w:rPr>
      </w:pPr>
      <w:r>
        <w:t>L’équipe Présidence Française</w:t>
      </w:r>
    </w:p>
    <w:sectPr w:rsidR="00573494" w:rsidRPr="00573494">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FB38" w16cex:dateUtc="2022-04-13T05:33:00Z"/>
  <w16cex:commentExtensible w16cex:durableId="2600FCC7" w16cex:dateUtc="2022-04-13T05:39:00Z"/>
  <w16cex:commentExtensible w16cex:durableId="2600FE4F" w16cex:dateUtc="2022-04-13T05:46:00Z"/>
  <w16cex:commentExtensible w16cex:durableId="26010AF6" w16cex:dateUtc="2022-04-13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0D153" w16cid:durableId="2600FB38"/>
  <w16cid:commentId w16cid:paraId="7B93BFF5" w16cid:durableId="2600FCC7"/>
  <w16cid:commentId w16cid:paraId="1F68A199" w16cid:durableId="2600FE4F"/>
  <w16cid:commentId w16cid:paraId="3FE77CF5" w16cid:durableId="26010A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645F0" w14:textId="77777777" w:rsidR="00DD6BA4" w:rsidRDefault="00DD6BA4" w:rsidP="00DD6BA4">
      <w:r>
        <w:separator/>
      </w:r>
    </w:p>
  </w:endnote>
  <w:endnote w:type="continuationSeparator" w:id="0">
    <w:p w14:paraId="28BBCEBD" w14:textId="77777777" w:rsidR="00DD6BA4" w:rsidRDefault="00DD6BA4" w:rsidP="00DD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53378"/>
      <w:docPartObj>
        <w:docPartGallery w:val="Page Numbers (Bottom of Page)"/>
        <w:docPartUnique/>
      </w:docPartObj>
    </w:sdtPr>
    <w:sdtEndPr/>
    <w:sdtContent>
      <w:p w14:paraId="0FCCD178" w14:textId="21322ECF" w:rsidR="00DD6BA4" w:rsidRDefault="00DD6BA4">
        <w:pPr>
          <w:pStyle w:val="Pieddepage"/>
          <w:jc w:val="center"/>
        </w:pPr>
        <w:r>
          <w:fldChar w:fldCharType="begin"/>
        </w:r>
        <w:r>
          <w:instrText>PAGE   \* MERGEFORMAT</w:instrText>
        </w:r>
        <w:r>
          <w:fldChar w:fldCharType="separate"/>
        </w:r>
        <w:r w:rsidR="008341CC">
          <w:rPr>
            <w:noProof/>
          </w:rPr>
          <w:t>1</w:t>
        </w:r>
        <w:r>
          <w:fldChar w:fldCharType="end"/>
        </w:r>
      </w:p>
    </w:sdtContent>
  </w:sdt>
  <w:p w14:paraId="6053BAFF" w14:textId="77777777" w:rsidR="00DD6BA4" w:rsidRDefault="00DD6B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68F9" w14:textId="77777777" w:rsidR="00DD6BA4" w:rsidRDefault="00DD6BA4" w:rsidP="00DD6BA4">
      <w:r>
        <w:separator/>
      </w:r>
    </w:p>
  </w:footnote>
  <w:footnote w:type="continuationSeparator" w:id="0">
    <w:p w14:paraId="0F704461" w14:textId="77777777" w:rsidR="00DD6BA4" w:rsidRDefault="00DD6BA4" w:rsidP="00DD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4DA0" w14:textId="3E4FE2A5" w:rsidR="00E87BCC" w:rsidRDefault="00E87BCC">
    <w:pPr>
      <w:pStyle w:val="En-tte"/>
    </w:pPr>
    <w:r>
      <w:rPr>
        <w:noProof/>
        <w:lang w:eastAsia="fr-FR"/>
      </w:rPr>
      <w:drawing>
        <wp:anchor distT="0" distB="0" distL="114300" distR="114300" simplePos="0" relativeHeight="251659264" behindDoc="0" locked="0" layoutInCell="1" allowOverlap="1" wp14:anchorId="419A015D" wp14:editId="3D3B215B">
          <wp:simplePos x="0" y="0"/>
          <wp:positionH relativeFrom="page">
            <wp:align>left</wp:align>
          </wp:positionH>
          <wp:positionV relativeFrom="paragraph">
            <wp:posOffset>-448310</wp:posOffset>
          </wp:positionV>
          <wp:extent cx="7616825" cy="1081405"/>
          <wp:effectExtent l="0" t="0" r="3175" b="4445"/>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16825" cy="1081405"/>
                  </a:xfrm>
                  <a:prstGeom prst="rect">
                    <a:avLst/>
                  </a:prstGeom>
                  <a:noFill/>
                  <a:ln>
                    <a:noFill/>
                    <a:prstDash/>
                  </a:ln>
                </pic:spPr>
              </pic:pic>
            </a:graphicData>
          </a:graphic>
          <wp14:sizeRelH relativeFrom="margin">
            <wp14:pctWidth>0</wp14:pctWidth>
          </wp14:sizeRelH>
        </wp:anchor>
      </w:drawing>
    </w:r>
  </w:p>
  <w:p w14:paraId="1ED9615A" w14:textId="77777777" w:rsidR="00E87BCC" w:rsidRDefault="00E87B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ED"/>
    <w:rsid w:val="000078F7"/>
    <w:rsid w:val="00007936"/>
    <w:rsid w:val="00007C38"/>
    <w:rsid w:val="00025BEB"/>
    <w:rsid w:val="00030356"/>
    <w:rsid w:val="00050DFF"/>
    <w:rsid w:val="00073B30"/>
    <w:rsid w:val="0009178D"/>
    <w:rsid w:val="000B0CF1"/>
    <w:rsid w:val="000D1784"/>
    <w:rsid w:val="000D3C63"/>
    <w:rsid w:val="00106226"/>
    <w:rsid w:val="00164431"/>
    <w:rsid w:val="00191F5A"/>
    <w:rsid w:val="00192781"/>
    <w:rsid w:val="001C465B"/>
    <w:rsid w:val="001D5623"/>
    <w:rsid w:val="001E2D13"/>
    <w:rsid w:val="001F172D"/>
    <w:rsid w:val="001F541F"/>
    <w:rsid w:val="00273903"/>
    <w:rsid w:val="00292E8C"/>
    <w:rsid w:val="002A1169"/>
    <w:rsid w:val="002D10C2"/>
    <w:rsid w:val="002D322D"/>
    <w:rsid w:val="002F4EBC"/>
    <w:rsid w:val="0039113C"/>
    <w:rsid w:val="00391B34"/>
    <w:rsid w:val="003941EC"/>
    <w:rsid w:val="003B7905"/>
    <w:rsid w:val="003C3CF4"/>
    <w:rsid w:val="003F2B51"/>
    <w:rsid w:val="004017DB"/>
    <w:rsid w:val="00402E99"/>
    <w:rsid w:val="0046429F"/>
    <w:rsid w:val="00486827"/>
    <w:rsid w:val="004B0B4C"/>
    <w:rsid w:val="004C0FBF"/>
    <w:rsid w:val="004E0669"/>
    <w:rsid w:val="004E5424"/>
    <w:rsid w:val="0050052B"/>
    <w:rsid w:val="00506538"/>
    <w:rsid w:val="0055143F"/>
    <w:rsid w:val="00567C2F"/>
    <w:rsid w:val="00573494"/>
    <w:rsid w:val="005871CD"/>
    <w:rsid w:val="005B032D"/>
    <w:rsid w:val="005E3A2F"/>
    <w:rsid w:val="00601E6E"/>
    <w:rsid w:val="006159F5"/>
    <w:rsid w:val="00631C28"/>
    <w:rsid w:val="00633A6C"/>
    <w:rsid w:val="00681D71"/>
    <w:rsid w:val="006C024B"/>
    <w:rsid w:val="006C3EA9"/>
    <w:rsid w:val="006E3A43"/>
    <w:rsid w:val="006F1EEB"/>
    <w:rsid w:val="00712215"/>
    <w:rsid w:val="00720579"/>
    <w:rsid w:val="00743A34"/>
    <w:rsid w:val="00750713"/>
    <w:rsid w:val="00754319"/>
    <w:rsid w:val="007B02E1"/>
    <w:rsid w:val="007E46EB"/>
    <w:rsid w:val="007E7D55"/>
    <w:rsid w:val="0082147B"/>
    <w:rsid w:val="008265BF"/>
    <w:rsid w:val="008322F3"/>
    <w:rsid w:val="008341CC"/>
    <w:rsid w:val="00843AA4"/>
    <w:rsid w:val="00845877"/>
    <w:rsid w:val="008929E1"/>
    <w:rsid w:val="008D06F0"/>
    <w:rsid w:val="009124FF"/>
    <w:rsid w:val="00913605"/>
    <w:rsid w:val="00935077"/>
    <w:rsid w:val="0095211E"/>
    <w:rsid w:val="00962333"/>
    <w:rsid w:val="00963802"/>
    <w:rsid w:val="00982B83"/>
    <w:rsid w:val="009E418C"/>
    <w:rsid w:val="00A146D8"/>
    <w:rsid w:val="00A27571"/>
    <w:rsid w:val="00A328A9"/>
    <w:rsid w:val="00A505BF"/>
    <w:rsid w:val="00A51A42"/>
    <w:rsid w:val="00AD559A"/>
    <w:rsid w:val="00AF7A28"/>
    <w:rsid w:val="00AF7BED"/>
    <w:rsid w:val="00B11CBE"/>
    <w:rsid w:val="00B13EFA"/>
    <w:rsid w:val="00B22D6E"/>
    <w:rsid w:val="00B542F8"/>
    <w:rsid w:val="00B66BA8"/>
    <w:rsid w:val="00BB63C1"/>
    <w:rsid w:val="00C53D64"/>
    <w:rsid w:val="00C620D8"/>
    <w:rsid w:val="00C6213C"/>
    <w:rsid w:val="00C81E8C"/>
    <w:rsid w:val="00C96D45"/>
    <w:rsid w:val="00CC63C6"/>
    <w:rsid w:val="00CF612A"/>
    <w:rsid w:val="00D1105A"/>
    <w:rsid w:val="00D221E9"/>
    <w:rsid w:val="00D37E7B"/>
    <w:rsid w:val="00D51BCF"/>
    <w:rsid w:val="00D54866"/>
    <w:rsid w:val="00D60AF9"/>
    <w:rsid w:val="00D6387B"/>
    <w:rsid w:val="00D93A66"/>
    <w:rsid w:val="00DD1ADA"/>
    <w:rsid w:val="00DD236F"/>
    <w:rsid w:val="00DD6BA4"/>
    <w:rsid w:val="00DD780C"/>
    <w:rsid w:val="00E00706"/>
    <w:rsid w:val="00E341DB"/>
    <w:rsid w:val="00E451E5"/>
    <w:rsid w:val="00E70586"/>
    <w:rsid w:val="00E839B5"/>
    <w:rsid w:val="00E87BCC"/>
    <w:rsid w:val="00EA2BC2"/>
    <w:rsid w:val="00EB0054"/>
    <w:rsid w:val="00EB3B19"/>
    <w:rsid w:val="00F02F3E"/>
    <w:rsid w:val="00F13A3D"/>
    <w:rsid w:val="00F363A9"/>
    <w:rsid w:val="00F44CA1"/>
    <w:rsid w:val="00F466E9"/>
    <w:rsid w:val="00F5185B"/>
    <w:rsid w:val="00F532F5"/>
    <w:rsid w:val="00F764BF"/>
    <w:rsid w:val="00F95F72"/>
    <w:rsid w:val="00FA1B46"/>
    <w:rsid w:val="00FB6909"/>
    <w:rsid w:val="00FD4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BD5E"/>
  <w15:chartTrackingRefBased/>
  <w15:docId w15:val="{840D67BF-F3D2-6E4F-A0C8-DEB2A206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F3E"/>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F7BED"/>
    <w:rPr>
      <w:sz w:val="16"/>
      <w:szCs w:val="16"/>
    </w:rPr>
  </w:style>
  <w:style w:type="paragraph" w:styleId="Commentaire">
    <w:name w:val="annotation text"/>
    <w:basedOn w:val="Normal"/>
    <w:link w:val="CommentaireCar"/>
    <w:uiPriority w:val="99"/>
    <w:semiHidden/>
    <w:unhideWhenUsed/>
    <w:rsid w:val="00AF7BED"/>
    <w:rPr>
      <w:sz w:val="20"/>
      <w:szCs w:val="20"/>
    </w:rPr>
  </w:style>
  <w:style w:type="character" w:customStyle="1" w:styleId="CommentaireCar">
    <w:name w:val="Commentaire Car"/>
    <w:basedOn w:val="Policepardfaut"/>
    <w:link w:val="Commentaire"/>
    <w:uiPriority w:val="99"/>
    <w:semiHidden/>
    <w:rsid w:val="00AF7BED"/>
    <w:rPr>
      <w:sz w:val="20"/>
      <w:szCs w:val="20"/>
    </w:rPr>
  </w:style>
  <w:style w:type="paragraph" w:styleId="Objetducommentaire">
    <w:name w:val="annotation subject"/>
    <w:basedOn w:val="Commentaire"/>
    <w:next w:val="Commentaire"/>
    <w:link w:val="ObjetducommentaireCar"/>
    <w:uiPriority w:val="99"/>
    <w:semiHidden/>
    <w:unhideWhenUsed/>
    <w:rsid w:val="00AF7BED"/>
    <w:rPr>
      <w:b/>
      <w:bCs/>
    </w:rPr>
  </w:style>
  <w:style w:type="character" w:customStyle="1" w:styleId="ObjetducommentaireCar">
    <w:name w:val="Objet du commentaire Car"/>
    <w:basedOn w:val="CommentaireCar"/>
    <w:link w:val="Objetducommentaire"/>
    <w:uiPriority w:val="99"/>
    <w:semiHidden/>
    <w:rsid w:val="00AF7BED"/>
    <w:rPr>
      <w:b/>
      <w:bCs/>
      <w:sz w:val="20"/>
      <w:szCs w:val="20"/>
    </w:rPr>
  </w:style>
  <w:style w:type="paragraph" w:styleId="Textedebulles">
    <w:name w:val="Balloon Text"/>
    <w:basedOn w:val="Normal"/>
    <w:link w:val="TextedebullesCar"/>
    <w:uiPriority w:val="99"/>
    <w:semiHidden/>
    <w:unhideWhenUsed/>
    <w:rsid w:val="00D11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05A"/>
    <w:rPr>
      <w:rFonts w:ascii="Segoe UI" w:hAnsi="Segoe UI" w:cs="Segoe UI"/>
      <w:sz w:val="18"/>
      <w:szCs w:val="18"/>
    </w:rPr>
  </w:style>
  <w:style w:type="paragraph" w:customStyle="1" w:styleId="Default">
    <w:name w:val="Default"/>
    <w:rsid w:val="00DD6BA4"/>
    <w:pPr>
      <w:autoSpaceDE w:val="0"/>
      <w:autoSpaceDN w:val="0"/>
      <w:adjustRightInd w:val="0"/>
    </w:pPr>
    <w:rPr>
      <w:rFonts w:ascii="Times New Roman" w:hAnsi="Times New Roman" w:cs="Times New Roman"/>
      <w:color w:val="000000"/>
    </w:rPr>
  </w:style>
  <w:style w:type="table" w:styleId="Grilledutableau">
    <w:name w:val="Table Grid"/>
    <w:basedOn w:val="TableauNormal"/>
    <w:uiPriority w:val="39"/>
    <w:rsid w:val="00DD6B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DD6BA4"/>
    <w:pPr>
      <w:numPr>
        <w:numId w:val="1"/>
      </w:numPr>
      <w:spacing w:before="120" w:after="120"/>
    </w:pPr>
    <w:rPr>
      <w:rFonts w:ascii="Times New Roman" w:hAnsi="Times New Roman" w:cs="Times New Roman"/>
      <w:szCs w:val="22"/>
      <w:lang w:val="en-GB"/>
    </w:rPr>
  </w:style>
  <w:style w:type="paragraph" w:customStyle="1" w:styleId="NumPar2">
    <w:name w:val="NumPar 2"/>
    <w:basedOn w:val="Normal"/>
    <w:next w:val="Normal"/>
    <w:rsid w:val="00DD6BA4"/>
    <w:pPr>
      <w:numPr>
        <w:ilvl w:val="1"/>
        <w:numId w:val="1"/>
      </w:numPr>
      <w:spacing w:before="120" w:after="120"/>
    </w:pPr>
    <w:rPr>
      <w:rFonts w:ascii="Times New Roman" w:hAnsi="Times New Roman" w:cs="Times New Roman"/>
      <w:szCs w:val="22"/>
      <w:lang w:val="en-GB"/>
    </w:rPr>
  </w:style>
  <w:style w:type="paragraph" w:customStyle="1" w:styleId="NumPar3">
    <w:name w:val="NumPar 3"/>
    <w:basedOn w:val="Normal"/>
    <w:next w:val="Normal"/>
    <w:rsid w:val="00DD6BA4"/>
    <w:pPr>
      <w:numPr>
        <w:ilvl w:val="2"/>
        <w:numId w:val="1"/>
      </w:numPr>
      <w:spacing w:before="120" w:after="120"/>
    </w:pPr>
    <w:rPr>
      <w:rFonts w:ascii="Times New Roman" w:hAnsi="Times New Roman" w:cs="Times New Roman"/>
      <w:szCs w:val="22"/>
      <w:lang w:val="en-GB"/>
    </w:rPr>
  </w:style>
  <w:style w:type="paragraph" w:customStyle="1" w:styleId="NumPar4">
    <w:name w:val="NumPar 4"/>
    <w:basedOn w:val="Normal"/>
    <w:next w:val="Normal"/>
    <w:rsid w:val="00DD6BA4"/>
    <w:pPr>
      <w:numPr>
        <w:ilvl w:val="3"/>
        <w:numId w:val="1"/>
      </w:numPr>
      <w:spacing w:before="120" w:after="120"/>
    </w:pPr>
    <w:rPr>
      <w:rFonts w:ascii="Times New Roman" w:hAnsi="Times New Roman" w:cs="Times New Roman"/>
      <w:szCs w:val="22"/>
      <w:lang w:val="en-GB"/>
    </w:rPr>
  </w:style>
  <w:style w:type="paragraph" w:customStyle="1" w:styleId="NumPar5">
    <w:name w:val="NumPar 5"/>
    <w:basedOn w:val="Normal"/>
    <w:next w:val="Normal"/>
    <w:rsid w:val="00DD6BA4"/>
    <w:pPr>
      <w:numPr>
        <w:ilvl w:val="4"/>
        <w:numId w:val="1"/>
      </w:numPr>
      <w:spacing w:before="120" w:after="120"/>
    </w:pPr>
    <w:rPr>
      <w:rFonts w:ascii="Times New Roman" w:hAnsi="Times New Roman" w:cs="Times New Roman"/>
      <w:szCs w:val="22"/>
      <w:lang w:val="en-GB"/>
    </w:rPr>
  </w:style>
  <w:style w:type="paragraph" w:customStyle="1" w:styleId="NumPar6">
    <w:name w:val="NumPar 6"/>
    <w:basedOn w:val="Normal"/>
    <w:next w:val="Normal"/>
    <w:rsid w:val="00DD6BA4"/>
    <w:pPr>
      <w:numPr>
        <w:ilvl w:val="5"/>
        <w:numId w:val="1"/>
      </w:numPr>
      <w:spacing w:before="120" w:after="120"/>
    </w:pPr>
    <w:rPr>
      <w:rFonts w:ascii="Times New Roman" w:hAnsi="Times New Roman" w:cs="Times New Roman"/>
      <w:szCs w:val="22"/>
      <w:lang w:val="en-GB"/>
    </w:rPr>
  </w:style>
  <w:style w:type="paragraph" w:customStyle="1" w:styleId="NumPar7">
    <w:name w:val="NumPar 7"/>
    <w:basedOn w:val="Normal"/>
    <w:next w:val="Normal"/>
    <w:rsid w:val="00DD6BA4"/>
    <w:pPr>
      <w:numPr>
        <w:ilvl w:val="6"/>
        <w:numId w:val="1"/>
      </w:numPr>
      <w:spacing w:before="120" w:after="120"/>
    </w:pPr>
    <w:rPr>
      <w:rFonts w:ascii="Times New Roman" w:hAnsi="Times New Roman" w:cs="Times New Roman"/>
      <w:szCs w:val="22"/>
      <w:lang w:val="en-GB"/>
    </w:rPr>
  </w:style>
  <w:style w:type="paragraph" w:styleId="En-tte">
    <w:name w:val="header"/>
    <w:basedOn w:val="Normal"/>
    <w:link w:val="En-tteCar"/>
    <w:uiPriority w:val="99"/>
    <w:unhideWhenUsed/>
    <w:rsid w:val="00DD6BA4"/>
    <w:pPr>
      <w:tabs>
        <w:tab w:val="center" w:pos="4536"/>
        <w:tab w:val="right" w:pos="9072"/>
      </w:tabs>
    </w:pPr>
  </w:style>
  <w:style w:type="character" w:customStyle="1" w:styleId="En-tteCar">
    <w:name w:val="En-tête Car"/>
    <w:basedOn w:val="Policepardfaut"/>
    <w:link w:val="En-tte"/>
    <w:uiPriority w:val="99"/>
    <w:rsid w:val="00DD6BA4"/>
  </w:style>
  <w:style w:type="paragraph" w:styleId="Pieddepage">
    <w:name w:val="footer"/>
    <w:basedOn w:val="Normal"/>
    <w:link w:val="PieddepageCar"/>
    <w:uiPriority w:val="99"/>
    <w:unhideWhenUsed/>
    <w:rsid w:val="00DD6BA4"/>
    <w:pPr>
      <w:tabs>
        <w:tab w:val="center" w:pos="4536"/>
        <w:tab w:val="right" w:pos="9072"/>
      </w:tabs>
    </w:pPr>
  </w:style>
  <w:style w:type="character" w:customStyle="1" w:styleId="PieddepageCar">
    <w:name w:val="Pied de page Car"/>
    <w:basedOn w:val="Policepardfaut"/>
    <w:link w:val="Pieddepage"/>
    <w:uiPriority w:val="99"/>
    <w:rsid w:val="00DD6BA4"/>
  </w:style>
  <w:style w:type="paragraph" w:styleId="NormalWeb">
    <w:name w:val="Normal (Web)"/>
    <w:basedOn w:val="Normal"/>
    <w:uiPriority w:val="99"/>
    <w:semiHidden/>
    <w:unhideWhenUsed/>
    <w:rsid w:val="00FA1B46"/>
    <w:pPr>
      <w:spacing w:before="100" w:beforeAutospacing="1" w:after="142" w:line="276" w:lineRule="auto"/>
      <w:jc w:val="left"/>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98409">
      <w:bodyDiv w:val="1"/>
      <w:marLeft w:val="0"/>
      <w:marRight w:val="0"/>
      <w:marTop w:val="0"/>
      <w:marBottom w:val="0"/>
      <w:divBdr>
        <w:top w:val="none" w:sz="0" w:space="0" w:color="auto"/>
        <w:left w:val="none" w:sz="0" w:space="0" w:color="auto"/>
        <w:bottom w:val="none" w:sz="0" w:space="0" w:color="auto"/>
        <w:right w:val="none" w:sz="0" w:space="0" w:color="auto"/>
      </w:divBdr>
    </w:div>
    <w:div w:id="1475753975">
      <w:bodyDiv w:val="1"/>
      <w:marLeft w:val="0"/>
      <w:marRight w:val="0"/>
      <w:marTop w:val="0"/>
      <w:marBottom w:val="0"/>
      <w:divBdr>
        <w:top w:val="none" w:sz="0" w:space="0" w:color="auto"/>
        <w:left w:val="none" w:sz="0" w:space="0" w:color="auto"/>
        <w:bottom w:val="none" w:sz="0" w:space="0" w:color="auto"/>
        <w:right w:val="none" w:sz="0" w:space="0" w:color="auto"/>
      </w:divBdr>
    </w:div>
    <w:div w:id="20595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826</Words>
  <Characters>4545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Isnard</dc:creator>
  <cp:keywords/>
  <dc:description/>
  <cp:lastModifiedBy>Neyen Antoine</cp:lastModifiedBy>
  <cp:revision>19</cp:revision>
  <cp:lastPrinted>2022-05-24T07:54:00Z</cp:lastPrinted>
  <dcterms:created xsi:type="dcterms:W3CDTF">2022-06-01T06:38:00Z</dcterms:created>
  <dcterms:modified xsi:type="dcterms:W3CDTF">2022-06-03T07:22:00Z</dcterms:modified>
</cp:coreProperties>
</file>